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A82D7F" w:rsidP="2A28F248" w:rsidRDefault="00A82D7F" w14:paraId="46EFB7FB" wp14:textId="648D31E6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2A28F248" w:rsidR="00A82D7F">
        <w:rPr>
          <w:rFonts w:ascii="Arial" w:hAnsi="Arial" w:cs="Arial"/>
          <w:b w:val="1"/>
          <w:bCs w:val="1"/>
        </w:rPr>
        <w:t xml:space="preserve">KARTA KURSU </w:t>
      </w:r>
    </w:p>
    <w:p xmlns:wp14="http://schemas.microsoft.com/office/word/2010/wordml" w:rsidR="00A82D7F" w:rsidP="00A82D7F" w:rsidRDefault="00A82D7F" w14:paraId="6035C5F9" wp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Cs w:val="28"/>
        </w:rPr>
        <w:t>(realizowanego w specjalności)</w:t>
      </w:r>
    </w:p>
    <w:p xmlns:wp14="http://schemas.microsoft.com/office/word/2010/wordml" w:rsidR="00A82D7F" w:rsidP="00A82D7F" w:rsidRDefault="00A82D7F" w14:paraId="02EB378F" wp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xmlns:wp14="http://schemas.microsoft.com/office/word/2010/wordml" w:rsidR="00A82D7F" w:rsidP="00A82D7F" w:rsidRDefault="00A82D7F" w14:paraId="6A05A809" wp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xmlns:wp14="http://schemas.microsoft.com/office/word/2010/wordml" w:rsidR="00A82D7F" w:rsidP="00A82D7F" w:rsidRDefault="00A82D7F" w14:paraId="7509A786" wp14:textId="77777777">
      <w:pPr>
        <w:spacing w:line="259" w:lineRule="auto"/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</w:rPr>
        <w:t>Nauczycielska</w:t>
      </w:r>
    </w:p>
    <w:p xmlns:wp14="http://schemas.microsoft.com/office/word/2010/wordml" w:rsidR="00A82D7F" w:rsidP="00A82D7F" w:rsidRDefault="00A82D7F" w14:paraId="1DD52162" wp14:textId="77777777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xmlns:wp14="http://schemas.microsoft.com/office/word/2010/wordml" w:rsidR="00A82D7F" w:rsidP="00A82D7F" w:rsidRDefault="00A82D7F" w14:paraId="5A39BBE3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A82D7F" w:rsidP="00A82D7F" w:rsidRDefault="00A82D7F" w14:paraId="41C8F396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A82D7F" w:rsidP="00A82D7F" w:rsidRDefault="00A82D7F" w14:paraId="72A3D3EC" wp14:textId="77777777">
      <w:pPr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xmlns:wp14="http://schemas.microsoft.com/office/word/2010/wordml" w:rsidR="00A82D7F" w:rsidTr="2A28F248" w14:paraId="7EFA2133" wp14:textId="77777777">
        <w:trPr>
          <w:trHeight w:val="395"/>
        </w:trPr>
        <w:tc>
          <w:tcPr>
            <w:tcW w:w="19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82D7F" w:rsidP="00A4303A" w:rsidRDefault="00A82D7F" w14:paraId="5480EF1D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:rsidR="00A82D7F" w:rsidP="00A4303A" w:rsidRDefault="00A82D7F" w14:paraId="3D7DF97F" wp14:textId="2C93470C">
            <w:pPr>
              <w:rPr>
                <w:rFonts w:ascii="Arial" w:hAnsi="Arial"/>
                <w:sz w:val="20"/>
                <w:szCs w:val="20"/>
              </w:rPr>
            </w:pPr>
            <w:r w:rsidRPr="2A28F248" w:rsidR="00A82D7F">
              <w:rPr>
                <w:rFonts w:ascii="Arial" w:hAnsi="Arial"/>
                <w:sz w:val="20"/>
                <w:szCs w:val="20"/>
              </w:rPr>
              <w:t>Dydaktyka języka hiszpańskiego I</w:t>
            </w:r>
            <w:r w:rsidRPr="2A28F248" w:rsidR="76FE90BC">
              <w:rPr>
                <w:rFonts w:ascii="Arial" w:hAnsi="Arial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7243C0" w:rsidR="00A82D7F" w:rsidTr="2A28F248" w14:paraId="235184AD" wp14:textId="77777777">
        <w:trPr>
          <w:trHeight w:val="379"/>
        </w:trPr>
        <w:tc>
          <w:tcPr>
            <w:tcW w:w="19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82D7F" w:rsidP="00A4303A" w:rsidRDefault="00A82D7F" w14:paraId="1595C287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:rsidR="00A82D7F" w:rsidP="2A28F248" w:rsidRDefault="00A82D7F" w14:paraId="6052FCEF" wp14:textId="1F4EAB7D">
            <w:pPr>
              <w:rPr>
                <w:rFonts w:ascii="Arial" w:hAnsi="Arial"/>
                <w:i w:val="1"/>
                <w:iCs w:val="1"/>
                <w:sz w:val="20"/>
                <w:szCs w:val="20"/>
                <w:lang w:val="en-US"/>
              </w:rPr>
            </w:pPr>
            <w:r w:rsidRPr="2A28F248" w:rsidR="00A82D7F">
              <w:rPr>
                <w:rFonts w:ascii="Arial" w:hAnsi="Arial"/>
                <w:i w:val="1"/>
                <w:iCs w:val="1"/>
                <w:sz w:val="20"/>
                <w:szCs w:val="20"/>
                <w:lang w:val="en-US"/>
              </w:rPr>
              <w:t>Teaching Spanish as a Foreign Language I</w:t>
            </w:r>
            <w:r w:rsidRPr="2A28F248" w:rsidR="2ADFDF01">
              <w:rPr>
                <w:rFonts w:ascii="Arial" w:hAnsi="Arial"/>
                <w:i w:val="1"/>
                <w:iCs w:val="1"/>
                <w:sz w:val="20"/>
                <w:szCs w:val="20"/>
                <w:lang w:val="en-US"/>
              </w:rPr>
              <w:t>II</w:t>
            </w:r>
          </w:p>
        </w:tc>
      </w:tr>
    </w:tbl>
    <w:p xmlns:wp14="http://schemas.microsoft.com/office/word/2010/wordml" w:rsidR="00A82D7F" w:rsidP="00A82D7F" w:rsidRDefault="00A82D7F" w14:paraId="0D0B940D" wp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p xmlns:wp14="http://schemas.microsoft.com/office/word/2010/wordml" w:rsidR="00A82D7F" w:rsidP="00A82D7F" w:rsidRDefault="00A82D7F" w14:paraId="0E27B00A" wp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xmlns:wp14="http://schemas.microsoft.com/office/word/2010/wordml" w:rsidR="00A82D7F" w:rsidTr="2A28F248" w14:paraId="5D7DF533" wp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82D7F" w:rsidP="00A4303A" w:rsidRDefault="00A82D7F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82D7F" w:rsidP="00A4303A" w:rsidRDefault="00A82D7F" w14:paraId="662B5190" wp14:textId="1ABAAF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A28F248" w:rsidR="1733955D">
              <w:rPr>
                <w:rFonts w:ascii="Arial" w:hAnsi="Arial" w:cs="Arial"/>
                <w:sz w:val="20"/>
                <w:szCs w:val="20"/>
              </w:rPr>
              <w:t>mgr Małgorzata Wiertelak</w:t>
            </w:r>
          </w:p>
        </w:tc>
        <w:tc>
          <w:tcPr>
            <w:tcW w:w="326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82D7F" w:rsidP="00A4303A" w:rsidRDefault="00A82D7F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A82D7F" w:rsidTr="2A28F248" w14:paraId="0E5A5342" wp14:textId="77777777">
        <w:trPr>
          <w:cantSplit/>
          <w:trHeight w:val="344"/>
        </w:trPr>
        <w:tc>
          <w:tcPr>
            <w:tcW w:w="3186" w:type="dxa"/>
            <w:vMerge/>
            <w:tcBorders/>
            <w:tcMar/>
            <w:vAlign w:val="center"/>
          </w:tcPr>
          <w:p w:rsidR="00A82D7F" w:rsidP="00A4303A" w:rsidRDefault="00A82D7F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A82D7F" w:rsidP="00A4303A" w:rsidRDefault="00A82D7F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82D7F" w:rsidP="2A28F248" w:rsidRDefault="00A82D7F" w14:paraId="17E0EF32" wp14:textId="38E0C6E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A28F248" w:rsidR="59F1B04A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A82D7F" w:rsidP="00A4303A" w:rsidRDefault="00A82D7F" w14:paraId="1E0EC62B" wp14:textId="44E6C7E4">
            <w:pPr>
              <w:pStyle w:val="Zawartotabeli"/>
              <w:spacing w:before="57" w:after="57"/>
              <w:jc w:val="center"/>
            </w:pPr>
            <w:r w:rsidRPr="2A28F248" w:rsidR="59F1B04A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A82D7F" w:rsidP="00A4303A" w:rsidRDefault="00A82D7F" w14:paraId="4B94D5A5" wp14:textId="16EA1E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A28F248" w:rsidR="0BFF0227">
              <w:rPr>
                <w:rFonts w:ascii="Arial" w:hAnsi="Arial" w:cs="Arial"/>
                <w:sz w:val="20"/>
                <w:szCs w:val="20"/>
              </w:rPr>
              <w:t>mgr Małgorzata Wiertelak</w:t>
            </w:r>
          </w:p>
        </w:tc>
      </w:tr>
      <w:tr xmlns:wp14="http://schemas.microsoft.com/office/word/2010/wordml" w:rsidR="00A82D7F" w:rsidTr="2A28F248" w14:paraId="3DEEC669" wp14:textId="77777777">
        <w:trPr>
          <w:cantSplit/>
          <w:trHeight w:val="57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82D7F" w:rsidP="00A4303A" w:rsidRDefault="00A82D7F" w14:paraId="3656B9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82D7F" w:rsidP="00A4303A" w:rsidRDefault="00A82D7F" w14:paraId="45FB081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/>
            <w:tcBorders/>
            <w:tcMar/>
            <w:vAlign w:val="center"/>
          </w:tcPr>
          <w:p w:rsidR="00A82D7F" w:rsidP="00A4303A" w:rsidRDefault="00A82D7F" w14:paraId="049F31C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A82D7F" w:rsidTr="2A28F248" w14:paraId="63F49C13" wp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82D7F" w:rsidP="00A4303A" w:rsidRDefault="00A82D7F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82D7F" w:rsidP="00A4303A" w:rsidRDefault="00A82D7F" w14:paraId="75697EEC" wp14:textId="0332AF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A28F248" w:rsidR="1C358D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4" w:type="dxa"/>
            <w:vMerge/>
            <w:tcBorders/>
            <w:tcMar/>
            <w:vAlign w:val="center"/>
          </w:tcPr>
          <w:p w:rsidR="00A82D7F" w:rsidP="00A4303A" w:rsidRDefault="00A82D7F" w14:paraId="5312826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A82D7F" w:rsidP="00A82D7F" w:rsidRDefault="00A82D7F" w14:paraId="62486C05" wp14:textId="77777777">
      <w:pPr>
        <w:rPr>
          <w:rFonts w:ascii="Arial" w:hAnsi="Arial" w:cs="Arial"/>
          <w:sz w:val="22"/>
          <w:szCs w:val="16"/>
          <w:lang w:val="es-ES"/>
        </w:rPr>
      </w:pPr>
    </w:p>
    <w:p xmlns:wp14="http://schemas.microsoft.com/office/word/2010/wordml" w:rsidR="00A82D7F" w:rsidP="00A82D7F" w:rsidRDefault="00A82D7F" w14:paraId="4101652C" wp14:textId="77777777">
      <w:pPr>
        <w:rPr>
          <w:rFonts w:ascii="Arial" w:hAnsi="Arial" w:cs="Arial"/>
          <w:b/>
          <w:bCs/>
          <w:sz w:val="22"/>
          <w:szCs w:val="16"/>
        </w:rPr>
      </w:pPr>
    </w:p>
    <w:p xmlns:wp14="http://schemas.microsoft.com/office/word/2010/wordml" w:rsidR="00A82D7F" w:rsidP="00A82D7F" w:rsidRDefault="00A82D7F" w14:paraId="3188016C" wp14:textId="77777777">
      <w:pPr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Opis kursu (cele kształcenia)</w:t>
      </w:r>
    </w:p>
    <w:p xmlns:wp14="http://schemas.microsoft.com/office/word/2010/wordml" w:rsidR="00A82D7F" w:rsidP="00A82D7F" w:rsidRDefault="00A82D7F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A82D7F" w:rsidTr="00A4303A" w14:paraId="4B3B83E3" wp14:textId="77777777">
        <w:trPr>
          <w:trHeight w:val="1365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23CCFC96" wp14:textId="77777777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 ma na celu teoretyczne i praktyczne przygotowanie studenta do wykonywania zawodu nauczyciela języka hiszpańskiego na etapie podstawowego i ponadpodstawowego nauczania w polskich szkołach publicznych.</w:t>
            </w:r>
          </w:p>
          <w:p w:rsidR="00A82D7F" w:rsidP="00A4303A" w:rsidRDefault="00A82D7F" w14:paraId="06EECCA5" wp14:textId="77777777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obejmują podstawy dydaktyki języka obcego z elementami metodyki nauczania języków obcych, w szczególności w polskich publicznych szkołach podstawowych i ponadpodstawowych. Omówione zostaną m.in.: cele i treści kształcenia (z uwzględnieniem ESOKJ oraz podstawy programowej dla szkół podstawowych i ponadpodstawowych), materiały (w tym wykorzystanie nowych technologii i narzędzi interaktywnych), metody oraz techniki nauczania (dostosowane do formy nauczania stacjonarnego i zdalnego), planowanie i przeprowadzenie lekcji, a także ewaluacja i status błędu w nauczaniu języka obcego. Student będzie potrafił wdrożyć nauczanie elementów języka hiszpańskiego oraz sprawności językowych, dostosowując je do potrzeb uczniów, wynikających z poziomu znajomości języka oraz indywidualnych kompetencji. Ponadto student zrozumie wagę sprawnej komunikacji na zajęciach języka, aktywizacji uczniów i motywowania ich do pracy ciągłej, a także opanuje umiejętności związane z pracą nad wspomnianymi elementami z zastosowaniem do nauczania języka hiszpańskiego.</w:t>
            </w:r>
          </w:p>
          <w:p w:rsidR="00A82D7F" w:rsidP="00A4303A" w:rsidRDefault="00A82D7F" w14:paraId="42CCDAC0" wp14:textId="77777777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trakcie zajęć przeprowadzana jest kontrola i ocena bieżąca (kształtująca) oraz ocena podsumowująca.</w:t>
            </w:r>
          </w:p>
        </w:tc>
      </w:tr>
    </w:tbl>
    <w:p xmlns:wp14="http://schemas.microsoft.com/office/word/2010/wordml" w:rsidR="00A82D7F" w:rsidP="00A82D7F" w:rsidRDefault="00A82D7F" w14:paraId="4DDBEF0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3461D779" wp14:textId="77777777">
      <w:pPr>
        <w:widowControl/>
        <w:rPr>
          <w:rFonts w:ascii="Arial" w:hAnsi="Arial" w:cs="Arial"/>
          <w:b/>
          <w:bCs/>
          <w:sz w:val="22"/>
          <w:szCs w:val="16"/>
        </w:rPr>
      </w:pPr>
      <w:r>
        <w:br w:type="page"/>
      </w:r>
    </w:p>
    <w:p xmlns:wp14="http://schemas.microsoft.com/office/word/2010/wordml" w:rsidR="00A82D7F" w:rsidP="00A82D7F" w:rsidRDefault="00A82D7F" w14:paraId="44A509E2" wp14:textId="77777777">
      <w:pPr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Efekty uczenia się</w:t>
      </w:r>
    </w:p>
    <w:p xmlns:wp14="http://schemas.microsoft.com/office/word/2010/wordml" w:rsidR="00A82D7F" w:rsidP="00A82D7F" w:rsidRDefault="00A82D7F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A82D7F" w:rsidTr="00A4303A" w14:paraId="01356D2C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270A42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7EB703A9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82D7F" w:rsidP="00A4303A" w:rsidRDefault="00A82D7F" w14:paraId="664579B8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R="00A82D7F" w:rsidTr="00A4303A" w14:paraId="41DB2BCD" wp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0FB7827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48658B6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A82D7F" w:rsidP="00A4303A" w:rsidRDefault="00A82D7F" w14:paraId="29624CC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filologii hiszpańskiej, którą jest w stanie rozwijać i twórczo stosować w działalności profesjonalnej.</w:t>
            </w:r>
          </w:p>
          <w:p w:rsidR="00A82D7F" w:rsidP="00A4303A" w:rsidRDefault="00A82D7F" w14:paraId="1E475A1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A82D7F" w:rsidP="00A4303A" w:rsidRDefault="00A82D7F" w14:paraId="7B786C9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na poziomie rozszerzonym terminologię i teorię z zakresu filologii, w tym w szczególności filologii hiszpańskiej.</w:t>
            </w:r>
          </w:p>
          <w:p w:rsidR="00A82D7F" w:rsidP="00A4303A" w:rsidRDefault="00A82D7F" w14:paraId="05735E1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A82D7F" w:rsidP="00A4303A" w:rsidRDefault="00A82D7F" w14:paraId="6DF91EA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pogłębioną wiedzę o kompleksowej naturze języka ojczystego i języków obcych oraz ich historycznej zmienności.</w:t>
            </w:r>
          </w:p>
          <w:p w:rsidR="00A82D7F" w:rsidP="00A4303A" w:rsidRDefault="00A82D7F" w14:paraId="79E6EE8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</w:t>
            </w:r>
          </w:p>
          <w:p w:rsidR="00A82D7F" w:rsidP="00A4303A" w:rsidRDefault="00A82D7F" w14:paraId="38625D4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rozumie system oświaty: organizację i funkcjonowanie systemu oświaty, znaczenie pozycji szkoły jako instytucji edukacyjnej, funkcje i cele edukacji szkolnej, modele współczesnej szkoły, pojęcie ukrytego programu szkoły, alternatywne formy edukacji, podstawę programową w kontekście programu nauczania oraz działań wychowawczo-profilaktycznych, podstawowe zagadnienia prawa oświatowego, krajowe i międzynarodowe regulacje dotyczące praw człowieka, dziecka, ucznia oraz osób z niepełnosprawnościami, zagadnienia prawa wewnątrzszkolnego, tematykę oceny jakości działalności szkoły lub placówki systemu oświaty.  </w:t>
            </w:r>
          </w:p>
          <w:p w:rsidR="00A82D7F" w:rsidP="00A4303A" w:rsidRDefault="00A82D7F" w14:paraId="5542C04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</w:t>
            </w:r>
          </w:p>
          <w:p w:rsidR="00A82D7F" w:rsidP="00A4303A" w:rsidRDefault="00A82D7F" w14:paraId="7C297F2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rozumie rolę nauczyciela i koncepcje pracy nauczyciela: etykę zawodową nauczyciela, zasady projektowania ścieżki własnego rozwoju zawodowego, rolę początkującego nauczyciela w szkolnej rzeczywistości, uwarunkowania sukcesu w pracy nauczyciela oraz choroby związane z wykonywaniem zawodu nauczyciela; nauczycielską pragmatykę zawodową – prawa i obowiązki nauczycieli, tematykę oceny jakości pracy nauczyciela, zasady odpowiedzialności prawnej opiekuna, nauczyciela, wychowawcy za bezpieczeństwo oraz ochronę zdrowia uczniów.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25FAD78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A82D7F" w:rsidP="00A4303A" w:rsidRDefault="00A82D7F" w14:paraId="1FC3994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34CE0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1863F67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A82D7F" w:rsidP="00A4303A" w:rsidRDefault="00A82D7F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2946DB8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5951D8B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A82D7F" w:rsidP="00A4303A" w:rsidRDefault="00A82D7F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1FDB636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W1</w:t>
            </w:r>
          </w:p>
          <w:p w:rsidR="00A82D7F" w:rsidP="00A4303A" w:rsidRDefault="00A82D7F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30AB4AE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W2</w:t>
            </w:r>
          </w:p>
          <w:p w:rsidR="00A82D7F" w:rsidP="00A4303A" w:rsidRDefault="00A82D7F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A82D7F" w:rsidP="00A82D7F" w:rsidRDefault="00A82D7F" w14:paraId="738610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637805D2" wp14:textId="77777777">
      <w:pPr>
        <w:widowControl/>
        <w:rPr>
          <w:rFonts w:ascii="Arial" w:hAnsi="Arial" w:cs="Arial"/>
          <w:sz w:val="22"/>
          <w:szCs w:val="16"/>
        </w:rPr>
      </w:pPr>
      <w:r>
        <w:br w:type="page"/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xmlns:wp14="http://schemas.microsoft.com/office/word/2010/wordml" w:rsidR="00A82D7F" w:rsidTr="00A4303A" w14:paraId="16367538" wp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1A0AA4D1" wp14:textId="77777777">
            <w:pPr>
              <w:pageBreakBefor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2C87E12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82D7F" w:rsidP="00A4303A" w:rsidRDefault="00A82D7F" w14:paraId="5434095F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R="00A82D7F" w:rsidTr="00A4303A" w14:paraId="3B45395C" wp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6AA36D2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A82D7F" w:rsidP="00A4303A" w:rsidRDefault="00A82D7F" w14:paraId="4749B6B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posługuje się językiem hiszpańskim na poziomie C1+ oraz drugim językiem obcym na poziomie B2+, zgodne z wymaganiami określonymi przez Europejski System Opisu Kształcenia Językowego.</w:t>
            </w:r>
          </w:p>
          <w:p w:rsidR="00A82D7F" w:rsidP="00A4303A" w:rsidRDefault="00A82D7F" w14:paraId="072F28B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A82D7F" w:rsidP="00A4303A" w:rsidRDefault="00A82D7F" w14:paraId="2E0A20C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inspirować i organizować proces uczenia się innych osób.</w:t>
            </w:r>
          </w:p>
          <w:p w:rsidR="00A82D7F" w:rsidP="00A4303A" w:rsidRDefault="00A82D7F" w14:paraId="1D567F7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A82D7F" w:rsidP="00A4303A" w:rsidRDefault="00A82D7F" w14:paraId="1DC4BA2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zawodową.</w:t>
            </w:r>
          </w:p>
          <w:p w:rsidR="00A82D7F" w:rsidP="00A4303A" w:rsidRDefault="00A82D7F" w14:paraId="40AFFD9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A82D7F" w:rsidP="00A4303A" w:rsidRDefault="00A82D7F" w14:paraId="16E73DD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 wybrać program nauczania zgodny z wymaganiami podstawy programowej i dostosować go do potrzeb edukacyjnych uczniów.</w:t>
            </w:r>
          </w:p>
          <w:p w:rsidR="00A82D7F" w:rsidP="00A4303A" w:rsidRDefault="00A82D7F" w14:paraId="44A931D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A82D7F" w:rsidP="00A4303A" w:rsidRDefault="00A82D7F" w14:paraId="736A88B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 formułować oceny etyczne związane z wykonywaniem zawodu nauczyciela języka hiszpańskiego.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14ACAEE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  <w:p w:rsidR="00A82D7F" w:rsidP="00A4303A" w:rsidRDefault="00A82D7F" w14:paraId="3B7B4B8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3A0FF5F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04718E8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K2_U14</w:t>
            </w:r>
          </w:p>
          <w:p w:rsidR="00A82D7F" w:rsidP="00A4303A" w:rsidRDefault="00A82D7F" w14:paraId="2BA226A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17AD93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107D4F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A82D7F" w:rsidP="00A4303A" w:rsidRDefault="00A82D7F" w14:paraId="0DE4B5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6204FF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2DBF0D7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B62F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72869C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U1</w:t>
            </w:r>
          </w:p>
          <w:p w:rsidR="00A82D7F" w:rsidP="00A4303A" w:rsidRDefault="00A82D7F" w14:paraId="02F2C34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680A4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1921983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42A42C2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U3</w:t>
            </w:r>
          </w:p>
          <w:p w:rsidR="00A82D7F" w:rsidP="00A4303A" w:rsidRDefault="00A82D7F" w14:paraId="296FEF7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7194DB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A82D7F" w:rsidP="00A82D7F" w:rsidRDefault="00A82D7F" w14:paraId="769D0D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54CD245A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xmlns:wp14="http://schemas.microsoft.com/office/word/2010/wordml" w:rsidR="00A82D7F" w:rsidTr="00A4303A" w14:paraId="0023D940" wp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2F8C2349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82D7F" w:rsidP="00A4303A" w:rsidRDefault="00A82D7F" w14:paraId="455A985F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R="00A82D7F" w:rsidTr="00A4303A" w14:paraId="7DA4F417" wp14:textId="77777777">
        <w:trPr>
          <w:cantSplit/>
          <w:trHeight w:val="1321"/>
        </w:trPr>
        <w:tc>
          <w:tcPr>
            <w:tcW w:w="1982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1231BE6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2B5AAE7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A82D7F" w:rsidP="00A4303A" w:rsidRDefault="00A82D7F" w14:paraId="7E150E8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zawodu.</w:t>
            </w:r>
          </w:p>
          <w:p w:rsidR="00A82D7F" w:rsidP="00A4303A" w:rsidRDefault="00A82D7F" w14:paraId="1850DF5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A82D7F" w:rsidP="00A4303A" w:rsidRDefault="00A82D7F" w14:paraId="64DF5F9E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samodzielne pogłębianie wiedzy pedagogicznej.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623FD8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A82D7F" w:rsidP="00A4303A" w:rsidRDefault="00A82D7F" w14:paraId="36FEB5B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30D7AA6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2D7F" w:rsidP="00A4303A" w:rsidRDefault="00A82D7F" w14:paraId="3A4F4D5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K3</w:t>
            </w:r>
          </w:p>
          <w:p w:rsidR="00A82D7F" w:rsidP="00A4303A" w:rsidRDefault="00A82D7F" w14:paraId="7196D06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A82D7F" w:rsidP="00A82D7F" w:rsidRDefault="00A82D7F" w14:paraId="34FF1C9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6D072C0D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8"/>
        <w:gridCol w:w="850"/>
        <w:gridCol w:w="272"/>
        <w:gridCol w:w="861"/>
        <w:gridCol w:w="316"/>
        <w:gridCol w:w="817"/>
        <w:gridCol w:w="286"/>
        <w:gridCol w:w="850"/>
        <w:gridCol w:w="282"/>
        <w:gridCol w:w="850"/>
        <w:gridCol w:w="287"/>
        <w:gridCol w:w="847"/>
        <w:gridCol w:w="284"/>
      </w:tblGrid>
      <w:tr xmlns:wp14="http://schemas.microsoft.com/office/word/2010/wordml" w:rsidR="00A82D7F" w:rsidTr="00A4303A" w14:paraId="68A6B712" wp14:textId="77777777">
        <w:trPr>
          <w:cantSplit/>
          <w:trHeight w:val="424" w:hRule="exact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A82D7F" w:rsidP="00A4303A" w:rsidRDefault="00A82D7F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A82D7F" w:rsidTr="00A4303A" w14:paraId="4B150495" wp14:textId="77777777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82D7F" w:rsidP="00A4303A" w:rsidRDefault="00A82D7F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2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82D7F" w:rsidP="00A4303A" w:rsidRDefault="00A82D7F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A82D7F" w:rsidTr="00A4303A" w14:paraId="53F2F122" wp14:textId="77777777">
        <w:trPr>
          <w:cantSplit/>
          <w:trHeight w:val="477"/>
        </w:trPr>
        <w:tc>
          <w:tcPr>
            <w:tcW w:w="1609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48A2191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82D7F" w:rsidP="00A4303A" w:rsidRDefault="00A82D7F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A82D7F" w:rsidTr="00A4303A" w14:paraId="0B183406" wp14:textId="77777777">
        <w:trPr>
          <w:trHeight w:val="499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82D7F" w:rsidP="00A4303A" w:rsidRDefault="00A82D7F" w14:paraId="5023141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82D7F" w:rsidP="00A4303A" w:rsidRDefault="00611996" w14:paraId="43FBD11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bookmarkStart w:name="_GoBack" w:id="0"/>
            <w:bookmarkEnd w:id="0"/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1F3B14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562C7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174B121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A82D7F" w:rsidP="00A4303A" w:rsidRDefault="00A82D7F" w14:paraId="33B8098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xmlns:wp14="http://schemas.microsoft.com/office/word/2010/wordml" w:rsidR="00A82D7F" w:rsidP="00A82D7F" w:rsidRDefault="00A82D7F" w14:paraId="664355A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1A965116" wp14:textId="77777777">
      <w:pPr>
        <w:rPr>
          <w:rFonts w:ascii="Arial" w:hAnsi="Arial" w:cs="Arial"/>
          <w:b/>
          <w:bCs/>
          <w:sz w:val="22"/>
          <w:szCs w:val="14"/>
        </w:rPr>
      </w:pPr>
    </w:p>
    <w:p xmlns:wp14="http://schemas.microsoft.com/office/word/2010/wordml" w:rsidR="00A82D7F" w:rsidP="00A82D7F" w:rsidRDefault="00A82D7F" w14:paraId="2FEAC4CC" wp14:textId="77777777">
      <w:pPr>
        <w:rPr>
          <w:rFonts w:ascii="Arial" w:hAnsi="Arial" w:cs="Arial"/>
          <w:b/>
          <w:bCs/>
          <w:sz w:val="22"/>
          <w:szCs w:val="14"/>
        </w:rPr>
      </w:pPr>
      <w:r>
        <w:rPr>
          <w:rFonts w:ascii="Arial" w:hAnsi="Arial" w:cs="Arial"/>
          <w:b/>
          <w:bCs/>
          <w:sz w:val="22"/>
          <w:szCs w:val="14"/>
        </w:rPr>
        <w:t>Opis metod prowadzenia zajęć</w:t>
      </w:r>
    </w:p>
    <w:p xmlns:wp14="http://schemas.microsoft.com/office/word/2010/wordml" w:rsidR="00A82D7F" w:rsidP="00A82D7F" w:rsidRDefault="00A82D7F" w14:paraId="7DF4E37C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A82D7F" w:rsidTr="00A4303A" w14:paraId="2486304E" wp14:textId="77777777">
        <w:trPr>
          <w:trHeight w:val="76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58248A3A" wp14:textId="77777777">
            <w:pPr>
              <w:jc w:val="both"/>
              <w:rPr>
                <w:sz w:val="26"/>
                <w:szCs w:val="26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Elementy wykładu konwersatoryjnego, ćwiczenia w trakcie zajęć, c</w:t>
            </w:r>
            <w:r>
              <w:rPr>
                <w:rFonts w:ascii="Arial" w:hAnsi="Arial" w:cs="Arial"/>
                <w:sz w:val="20"/>
                <w:szCs w:val="20"/>
              </w:rPr>
              <w:t>zytanie i analiza tekstów samodzielnie i pod kierunkiem prowadzących zajęcia,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praca indywidualna, prace pisemne, praca grupowa, projekty i prezentacje, autokorekta i korekta grupowa, praca na platformach do nauczania zdalnego.</w:t>
            </w:r>
          </w:p>
        </w:tc>
      </w:tr>
    </w:tbl>
    <w:p xmlns:wp14="http://schemas.microsoft.com/office/word/2010/wordml" w:rsidR="00A82D7F" w:rsidP="00A82D7F" w:rsidRDefault="00A82D7F" w14:paraId="44FB30F8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1DA6542E" wp14:textId="77777777">
      <w:pPr>
        <w:widowControl/>
        <w:rPr>
          <w:rFonts w:ascii="Arial" w:hAnsi="Arial" w:cs="Arial"/>
          <w:b/>
          <w:bCs/>
          <w:sz w:val="22"/>
          <w:szCs w:val="16"/>
        </w:rPr>
      </w:pPr>
      <w:r>
        <w:br w:type="page"/>
      </w:r>
    </w:p>
    <w:p xmlns:wp14="http://schemas.microsoft.com/office/word/2010/wordml" w:rsidR="00A82D7F" w:rsidP="00A82D7F" w:rsidRDefault="00A82D7F" w14:paraId="62695922" wp14:textId="77777777">
      <w:pPr>
        <w:pStyle w:val="Zawartotabeli"/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Formy sprawdzania efektów uczenia się</w:t>
      </w:r>
    </w:p>
    <w:p xmlns:wp14="http://schemas.microsoft.com/office/word/2010/wordml" w:rsidR="00A82D7F" w:rsidP="00A82D7F" w:rsidRDefault="00A82D7F" w14:paraId="3041E394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4"/>
        <w:gridCol w:w="663"/>
        <w:gridCol w:w="667"/>
        <w:gridCol w:w="668"/>
        <w:gridCol w:w="666"/>
        <w:gridCol w:w="663"/>
        <w:gridCol w:w="667"/>
        <w:gridCol w:w="668"/>
        <w:gridCol w:w="666"/>
        <w:gridCol w:w="563"/>
        <w:gridCol w:w="768"/>
        <w:gridCol w:w="668"/>
        <w:gridCol w:w="667"/>
        <w:gridCol w:w="663"/>
      </w:tblGrid>
      <w:tr xmlns:wp14="http://schemas.microsoft.com/office/word/2010/wordml" w:rsidR="00A82D7F" w:rsidTr="00A4303A" w14:paraId="4D1153E2" wp14:textId="77777777">
        <w:trPr>
          <w:cantSplit/>
          <w:trHeight w:val="1616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722B00A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82D7F" w:rsidP="00A4303A" w:rsidRDefault="00A82D7F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A82D7F" w:rsidTr="00A4303A" w14:paraId="2D72330C" wp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262F74AA" wp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2C6D79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E1831B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4E11D2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1126E5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DE403A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D9616C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2431CD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1933DB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F9B2D4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9E398E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6287F2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BE93A6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84BA7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5640919A" wp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4B3F2E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B9B05D7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D34F5C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B4020A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D7B270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7C9F95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06A5F3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AD57E7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5326C03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F904CB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838AA3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6971CD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A1F701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5097DE80" wp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56C10F0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3EFCA4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F96A72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B95CD1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220BBB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3CB595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D9C8D3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75E05E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4294D7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FC17F8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A4F722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AE48A4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0F40DE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7A5229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5DD60BD8" wp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FF2826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07DCDA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3EABB07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50EA2D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DD355C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A81F0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B580D6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1468B8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7D20E0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393E36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17AAFB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363A10B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6EE48E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908EB2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384DAA4D" wp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21FD38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FE2DD9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735753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7F023C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BDB549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3D7E4C9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12DD2B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545036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916C19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486946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87F57B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4738AF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6ABBD8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34242DBF" wp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6BBA3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C318815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64FCBC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C8C6B0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382A36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93C270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A858FD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EB4220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23D057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C71F13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196BC07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219946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DA123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668FAAE8" wp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C4CEA3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089567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8C1F85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C8FE7C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1004F1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F37B2E5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0D9741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386958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D9CA38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7C0C65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8F68C8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08D56C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97E50C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4EEEB58B" wp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031D778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B04FA4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68C698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A93948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AA258D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FFBD3E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978DB5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272837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0DCCCA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192D063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6AF688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4C529E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C0157D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691E7B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6128B705" wp14:textId="77777777">
        <w:trPr>
          <w:cantSplit/>
          <w:trHeight w:val="244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4D844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26770C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CBEED8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E36661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8645DC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35E58C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AAFB449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309F07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2EBF9A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EFC4DE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C6C2CD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8701689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09E88E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08C98E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5F9357B0" wp14:textId="77777777">
        <w:trPr>
          <w:cantSplit/>
          <w:trHeight w:val="244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178E463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79F8E7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81886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4F69B9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F07D11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1508A3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3D6B1D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7DBC15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E50C67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F8BD81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613E9C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037B8A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87C6DE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B2F937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3EB0795B" wp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8E6DD4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D3BEE8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B88899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9E2BB2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57C0D79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8A1596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06D049C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E457A9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D142F6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475AD1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120C4E9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2AFC42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71CA72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A82D7F" w:rsidTr="00A4303A" w14:paraId="45D06ADF" wp14:textId="77777777">
        <w:trPr>
          <w:cantSplit/>
          <w:trHeight w:val="315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337E4E0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5FBE42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D3F0BE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75CF431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CB648E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C178E9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FAF1AF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5A59FC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C0395D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083DC38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3254BC2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651E959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269E314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82D7F" w:rsidP="00A4303A" w:rsidRDefault="00A82D7F" w14:paraId="4734134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A82D7F" w:rsidP="00A82D7F" w:rsidRDefault="00A82D7F" w14:paraId="42EF2083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7B40C951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1939"/>
        <w:gridCol w:w="7701"/>
      </w:tblGrid>
      <w:tr xmlns:wp14="http://schemas.microsoft.com/office/word/2010/wordml" w:rsidR="00A82D7F" w:rsidTr="00A4303A" w14:paraId="59DFE27F" wp14:textId="77777777">
        <w:trPr>
          <w:trHeight w:val="1089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A82D7F" w:rsidP="00A4303A" w:rsidRDefault="00A82D7F" w14:paraId="121391AA" wp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A82D7F" w:rsidP="00A4303A" w:rsidRDefault="00A82D7F" w14:paraId="78936F36" wp14:textId="77777777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kończy się egzaminem ustnym. </w:t>
            </w:r>
          </w:p>
          <w:p w:rsidR="00A82D7F" w:rsidP="00A4303A" w:rsidRDefault="00A82D7F" w14:paraId="47A486B3" wp14:textId="77777777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przystąpienia do egzaminu jest uzyskanie pozytywnej oceny z punktowanej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pracy ciągłej studenta, obejmującej obecność, aktywność na zajęciach i wykonywanie zadań domowych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82D7F" w:rsidP="00A4303A" w:rsidRDefault="00A82D7F" w14:paraId="7BE8887F" wp14:textId="77777777">
            <w:pPr>
              <w:suppressLineNumbers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ocenę końcową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składa się ocena z egzaminu, a także ocena pracy ciągłej studenta. </w:t>
            </w:r>
          </w:p>
          <w:p w:rsidR="00A82D7F" w:rsidP="00A4303A" w:rsidRDefault="00A82D7F" w14:paraId="69B130F7" wp14:textId="77777777">
            <w:pPr>
              <w:suppressLineNumbers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Skala ocen: 3.0 dostateczny (70–75 punktów), 3.5 dostateczny plus (76–81 punktów), 4.0 dobry (82–87 punktów), 4.5 dobry plus (88–93 punkty), 5.0 bardzo dobry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(94–100 punktów).</w:t>
            </w:r>
          </w:p>
        </w:tc>
      </w:tr>
    </w:tbl>
    <w:p xmlns:wp14="http://schemas.microsoft.com/office/word/2010/wordml" w:rsidR="00A82D7F" w:rsidP="00A82D7F" w:rsidRDefault="00A82D7F" w14:paraId="4B4D723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A82D7F" w:rsidP="00A82D7F" w:rsidRDefault="00A82D7F" w14:paraId="2093CA67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xmlns:wp14="http://schemas.microsoft.com/office/word/2010/wordml" w:rsidR="00A82D7F" w:rsidTr="00A4303A" w14:paraId="002EE185" wp14:textId="77777777">
        <w:trPr>
          <w:trHeight w:val="80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A82D7F" w:rsidP="00A4303A" w:rsidRDefault="00A82D7F" w14:paraId="718A5242" wp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A82D7F" w:rsidP="00A4303A" w:rsidRDefault="00A82D7F" w14:paraId="03ED40F8" wp14:textId="77777777">
            <w:pPr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W zależności od sytuacji epidemiologicznej zajęcia prowadzone będą albo stacjonarnie (z wykorzystaniem platform Moodle i MS Teams jako narzędzia pomocniczego), albo zdalnie (w trybie synchronicznym, z wykorzystaniem platformy Moodle i MS Teams jako narzędzia pomocniczego).</w:t>
            </w:r>
          </w:p>
        </w:tc>
      </w:tr>
    </w:tbl>
    <w:p xmlns:wp14="http://schemas.microsoft.com/office/word/2010/wordml" w:rsidR="00A82D7F" w:rsidP="00A82D7F" w:rsidRDefault="00A82D7F" w14:paraId="2503B197" wp14:textId="77777777">
      <w:pPr>
        <w:rPr>
          <w:rFonts w:ascii="Arial" w:hAnsi="Arial" w:cs="Arial"/>
          <w:b/>
          <w:bCs/>
          <w:sz w:val="22"/>
          <w:szCs w:val="16"/>
        </w:rPr>
      </w:pPr>
    </w:p>
    <w:p xmlns:wp14="http://schemas.microsoft.com/office/word/2010/wordml" w:rsidR="00A82D7F" w:rsidP="00A82D7F" w:rsidRDefault="00A82D7F" w14:paraId="159A33C0" wp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xmlns:wp14="http://schemas.microsoft.com/office/word/2010/wordml" w:rsidR="00A82D7F" w:rsidP="00A82D7F" w:rsidRDefault="00A82D7F" w14:paraId="38288749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A82D7F" w:rsidTr="0C4F3BE0" w14:paraId="112A5898" wp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82D7F" w:rsidR="00A82D7F" w:rsidP="541D39B8" w:rsidRDefault="00A82D7F" w14:paraId="0B15DBDC" wp14:textId="57420698">
            <w:pPr>
              <w:pStyle w:val="Heading3"/>
              <w:keepNext w:val="1"/>
              <w:keepLines w:val="1"/>
              <w:widowControl w:val="0"/>
              <w:spacing w:before="281" w:beforeAutospacing="off" w:after="281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F4761"/>
                <w:sz w:val="24"/>
                <w:szCs w:val="24"/>
                <w:lang w:val="pl-PL"/>
              </w:rPr>
              <w:t>1</w:t>
            </w:r>
            <w:r w:rsidRPr="541D39B8" w:rsidR="294BE1D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. Rola i kompetencje nauczyciela</w:t>
            </w:r>
          </w:p>
          <w:p w:rsidRPr="00A82D7F" w:rsidR="00A82D7F" w:rsidP="541D39B8" w:rsidRDefault="00A82D7F" w14:paraId="2778D304" wp14:textId="6334EA4D">
            <w:pPr>
              <w:pStyle w:val="Akapitzlist"/>
              <w:widowControl w:val="0"/>
              <w:numPr>
                <w:ilvl w:val="0"/>
                <w:numId w:val="4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Kształtowanie postawy świadomego, refleksyjnego nauczyciela otwartego na zmiany</w:t>
            </w:r>
          </w:p>
          <w:p w:rsidRPr="00A82D7F" w:rsidR="00A82D7F" w:rsidP="541D39B8" w:rsidRDefault="00A82D7F" w14:paraId="2BA81931" wp14:textId="6D2CCD77">
            <w:pPr>
              <w:pStyle w:val="Akapitzlist"/>
              <w:widowControl w:val="0"/>
              <w:numPr>
                <w:ilvl w:val="0"/>
                <w:numId w:val="4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Znaczenie ciągłego dokształcania się i aktualizowania wiedzy oraz kompetencji</w:t>
            </w:r>
          </w:p>
          <w:p w:rsidRPr="00A82D7F" w:rsidR="00A82D7F" w:rsidP="0C4F3BE0" w:rsidRDefault="00A82D7F" w14:paraId="4C471CEF" wp14:textId="6094916B">
            <w:pPr>
              <w:pStyle w:val="Akapitzlist"/>
              <w:widowControl w:val="0"/>
              <w:numPr>
                <w:ilvl w:val="0"/>
                <w:numId w:val="4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0C4F3BE0" w:rsidR="41EF27E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Refleksje nad efektywnością własnych działań dydaktycznych oraz sposoby doskonalenia warsztatu nauczycielskiego</w:t>
            </w:r>
          </w:p>
          <w:p w:rsidRPr="00A82D7F" w:rsidR="00A82D7F" w:rsidP="0C4F3BE0" w:rsidRDefault="00A82D7F" w14:paraId="42C0ACA2" wp14:textId="642283F0">
            <w:pPr>
              <w:pStyle w:val="Akapitzlist"/>
              <w:widowControl w:val="0"/>
              <w:numPr>
                <w:ilvl w:val="0"/>
                <w:numId w:val="4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0C4F3BE0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Refleksja nad możliwymi rozwiązaniami w trudnych sytuacjach (niska frekwencja, efekt Golema, syndrom nieadekwatnych osiągnięć szkolnych)</w:t>
            </w:r>
          </w:p>
          <w:p w:rsidRPr="00A82D7F" w:rsidR="00A82D7F" w:rsidP="541D39B8" w:rsidRDefault="00A82D7F" w14:paraId="3CF71B0F" wp14:textId="30BC3D06">
            <w:pPr>
              <w:pStyle w:val="Heading3"/>
              <w:keepNext w:val="1"/>
              <w:keepLines w:val="1"/>
              <w:widowControl w:val="0"/>
              <w:spacing w:before="281" w:beforeAutospacing="off" w:after="281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2. Nauczanie i uczenie się – procesy i strategie</w:t>
            </w:r>
          </w:p>
          <w:p w:rsidRPr="00A82D7F" w:rsidR="00A82D7F" w:rsidP="541D39B8" w:rsidRDefault="00A82D7F" w14:paraId="2A2BE289" wp14:textId="7AFC730D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 xml:space="preserve">El </w:t>
            </w: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aprendizaje</w:t>
            </w: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 xml:space="preserve"> </w:t>
            </w: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inductivo</w:t>
            </w: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 xml:space="preserve"> y </w:t>
            </w: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deductivo</w:t>
            </w: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 xml:space="preserve"> / Nauczanie indukcyjne i dedukcyjne</w:t>
            </w:r>
          </w:p>
          <w:p w:rsidRPr="00A82D7F" w:rsidR="00A82D7F" w:rsidP="541D39B8" w:rsidRDefault="00A82D7F" w14:paraId="64BCC46E" wp14:textId="0EA538C4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Strategie uczenia się i strategie nauczania konkretnych treści</w:t>
            </w:r>
          </w:p>
          <w:p w:rsidRPr="00A82D7F" w:rsidR="00A82D7F" w:rsidP="541D39B8" w:rsidRDefault="00A82D7F" w14:paraId="66FE6CF3" wp14:textId="398EF959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Zintegrowane nauczanie przedmiotowo-językowe (CLIL)</w:t>
            </w:r>
          </w:p>
          <w:p w:rsidRPr="00A82D7F" w:rsidR="00A82D7F" w:rsidP="541D39B8" w:rsidRDefault="00A82D7F" w14:paraId="483AA507" wp14:textId="7838973E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41D39B8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Rozwój sprawności językowych: mówienie, słuchanie, czytanie, pisanie</w:t>
            </w:r>
          </w:p>
          <w:p w:rsidRPr="00A82D7F" w:rsidR="00A82D7F" w:rsidP="0C4F3BE0" w:rsidRDefault="00A82D7F" w14:paraId="310B5B0F" wp14:textId="45B704ED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0C4F3BE0" w:rsidR="294BE1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Nauczanie elementów języka oraz sprawności receptywnych i produktywnych</w:t>
            </w:r>
          </w:p>
        </w:tc>
      </w:tr>
    </w:tbl>
    <w:p xmlns:wp14="http://schemas.microsoft.com/office/word/2010/wordml" w:rsidR="00A82D7F" w:rsidP="00A82D7F" w:rsidRDefault="00A82D7F" w14:paraId="20BD9A1A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0C136CF1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A82D7F" w:rsidP="00A82D7F" w:rsidRDefault="00A82D7F" w14:paraId="0A392C6A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A82D7F" w:rsidP="00A82D7F" w:rsidRDefault="00A82D7F" w14:paraId="290583F9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A82D7F" w:rsidP="00A82D7F" w:rsidRDefault="00A82D7F" w14:paraId="68F21D90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A82D7F" w:rsidP="00A82D7F" w:rsidRDefault="00A82D7F" w14:paraId="13C326F3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A82D7F" w:rsidP="00A82D7F" w:rsidRDefault="00A82D7F" w14:paraId="4853B841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A82D7F" w:rsidP="00A82D7F" w:rsidRDefault="00A82D7F" w14:paraId="349747DD" wp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literatury podstawowej</w:t>
      </w:r>
    </w:p>
    <w:p xmlns:wp14="http://schemas.microsoft.com/office/word/2010/wordml" w:rsidR="00A82D7F" w:rsidP="00A82D7F" w:rsidRDefault="00A82D7F" w14:paraId="50125231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A82D7F" w:rsidTr="00A4303A" w14:paraId="779C89F1" wp14:textId="77777777">
        <w:trPr>
          <w:trHeight w:val="1098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4E8B0890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(b.a.). (2015, 1 kwietnia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). Ramowe plany nauczania</w:t>
            </w:r>
            <w:r>
              <w:rPr>
                <w:rFonts w:ascii="Arial" w:hAnsi="Arial" w:cs="Arial"/>
                <w:sz w:val="20"/>
                <w:szCs w:val="20"/>
              </w:rPr>
              <w:t>. Ośrodek Rozwoju Edukacji. Pobrane z </w:t>
            </w:r>
            <w:hyperlink r:id="rId6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https://www.ore.edu.pl/2015/04/ramowe-plany-nauczania/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82D7F" w:rsidP="00A4303A" w:rsidRDefault="00A82D7F" w14:paraId="3BE7B016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(2017, 16 grudnia).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Podstawa programowa kształcenia ogólnego dla przedszkoli i szkół podstawowych</w:t>
            </w:r>
            <w:r>
              <w:rPr>
                <w:rFonts w:ascii="Arial" w:hAnsi="Arial" w:cs="Arial"/>
                <w:sz w:val="20"/>
                <w:szCs w:val="20"/>
              </w:rPr>
              <w:t>. Ośrodek Rozwoju Edukacji. Pobrane z </w:t>
            </w:r>
            <w:hyperlink r:id="rId7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https://www.ore.edu.pl/2017/12/ppko/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82D7F" w:rsidP="00A4303A" w:rsidRDefault="00A82D7F" w14:paraId="4C2C72F8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(2018, 23 marca).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Podstawa programowa kształcenia ogólnego dla liceum, technikum i branżowej szkoły II stopnia</w:t>
            </w:r>
            <w:r>
              <w:rPr>
                <w:rFonts w:ascii="Arial" w:hAnsi="Arial" w:cs="Arial"/>
                <w:sz w:val="20"/>
                <w:szCs w:val="20"/>
              </w:rPr>
              <w:t>. Ośrodek Rozwoju Edukacji. Pobrane z </w:t>
            </w:r>
            <w:hyperlink r:id="rId8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https://www.ore.edu.pl/2018/03/podstawa-programowa-ksztalcenia-ogolnego-dla-liceum-technikum-i-branzowej-szkoly-ii-stopnia/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82D7F" w:rsidP="00A4303A" w:rsidRDefault="00A82D7F" w14:paraId="2DF0AF1E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Wykaz podręczników dopuszczonych do użytku szkolnego do kształcenia ogólnego</w:t>
            </w:r>
            <w:r>
              <w:rPr>
                <w:rFonts w:ascii="Arial" w:hAnsi="Arial" w:cs="Arial"/>
                <w:sz w:val="20"/>
                <w:szCs w:val="20"/>
              </w:rPr>
              <w:t xml:space="preserve">. Ministerstwo Edukacji i Nauki. Pobrane z </w:t>
            </w:r>
            <w:hyperlink r:id="rId9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https://podreczniki.men.gov.pl/podreczniki/1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82D7F" w:rsidP="00A4303A" w:rsidRDefault="00A82D7F" w14:paraId="6ECED4EB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(2005).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Fraszka Edukacyjna.</w:t>
            </w:r>
          </w:p>
          <w:p w:rsidR="00A82D7F" w:rsidP="00A4303A" w:rsidRDefault="00A82D7F" w14:paraId="56AD8D18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Sánchez Lobato, J., Santos Gargallo, I. (dir.). (2008 [2004]).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Vadamécum para la formación de profesores. Enseñar español como segunda lengua (L2)/lengua extranjera (LE)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SGEL.</w:t>
            </w:r>
          </w:p>
          <w:p w:rsidR="00A82D7F" w:rsidP="00A4303A" w:rsidRDefault="00A82D7F" w14:paraId="1EE02E0A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Santamaría Pérez, M. I. (2006).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enseñanza del léxico en español como lengua extranjera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Universidad de Alicante.</w:t>
            </w:r>
          </w:p>
        </w:tc>
      </w:tr>
    </w:tbl>
    <w:p xmlns:wp14="http://schemas.microsoft.com/office/word/2010/wordml" w:rsidR="00A82D7F" w:rsidP="00A82D7F" w:rsidRDefault="00A82D7F" w14:paraId="5A25747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A82D7F" w:rsidP="00A82D7F" w:rsidRDefault="00A82D7F" w14:paraId="59EC7B3D" wp14:textId="77777777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Wykaz literatury uzupełniającej</w:t>
      </w:r>
    </w:p>
    <w:p xmlns:wp14="http://schemas.microsoft.com/office/word/2010/wordml" w:rsidR="00A82D7F" w:rsidP="00A82D7F" w:rsidRDefault="00A82D7F" w14:paraId="09B8D95D" wp14:textId="77777777">
      <w:pPr>
        <w:rPr>
          <w:rFonts w:ascii="Arial" w:hAnsi="Arial" w:cs="Arial"/>
          <w:sz w:val="20"/>
          <w:szCs w:val="20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A82D7F" w:rsidTr="00A4303A" w14:paraId="2CB18EF2" wp14:textId="77777777">
        <w:trPr>
          <w:trHeight w:val="1112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82D7F" w:rsidP="00A4303A" w:rsidRDefault="00A82D7F" w14:paraId="7E5ED989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Alonso, E. (2012 [1994]).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¿Cómo ser profesor/a y querer seguir siéndolo?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Edelsa.</w:t>
            </w:r>
          </w:p>
          <w:p w:rsidR="00A82D7F" w:rsidP="00A4303A" w:rsidRDefault="00A82D7F" w14:paraId="4CB6015C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Alonso, E.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Soy profesor/a. Aprender a enseñar. Los protagonistas y la preparación de clase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Edelia.</w:t>
            </w:r>
          </w:p>
          <w:p w:rsidR="00A82D7F" w:rsidP="00A4303A" w:rsidRDefault="00A82D7F" w14:paraId="500EA9C3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Egzamin maturalny</w:t>
            </w:r>
            <w:r>
              <w:rPr>
                <w:rFonts w:ascii="Arial" w:hAnsi="Arial" w:cs="Arial"/>
                <w:sz w:val="20"/>
                <w:szCs w:val="20"/>
              </w:rPr>
              <w:t>. Centralna Komisja Egzaminacyjna. Pobrane z </w:t>
            </w:r>
            <w:hyperlink r:id="rId10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https://cke.gov.pl/egzamin-maturalny/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82D7F" w:rsidP="00A4303A" w:rsidRDefault="00A82D7F" w14:paraId="575A53C6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Egzamin ósmoklasisty</w:t>
            </w:r>
            <w:r>
              <w:rPr>
                <w:rFonts w:ascii="Arial" w:hAnsi="Arial" w:cs="Arial"/>
                <w:sz w:val="20"/>
                <w:szCs w:val="20"/>
              </w:rPr>
              <w:t>. Centralna Komisja Egzaminacyjna. Pobrane z </w:t>
            </w:r>
            <w:hyperlink r:id="rId11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https://cke.gov.pl/egzamin-osmoklasisty/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82D7F" w:rsidP="00A4303A" w:rsidRDefault="00A82D7F" w14:paraId="19345926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Marco común europeo de referencia para las lenguas: aprendizaje, enseñanza, evaluación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Centro Virtual Cervantes. Pobrane z </w:t>
            </w:r>
            <w:hyperlink r:id="rId12">
              <w:r>
                <w:rPr>
                  <w:rStyle w:val="czeinternetowe"/>
                  <w:rFonts w:ascii="Arial" w:hAnsi="Arial" w:cs="Arial"/>
                  <w:sz w:val="20"/>
                  <w:szCs w:val="20"/>
                  <w:lang w:val="es-ES"/>
                </w:rPr>
                <w:t>https://cvc.cervantes.es/ensenanza/biblioteca_ele/marco/</w:t>
              </w:r>
            </w:hyperlink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82D7F" w:rsidP="00A4303A" w:rsidRDefault="00A82D7F" w14:paraId="4389B939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Plan curricular del Instituto Cervantes. Niveles de referencia para el español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Centro Virtual Cervantes. Pobrane z </w:t>
            </w:r>
            <w:hyperlink r:id="rId13">
              <w:r>
                <w:rPr>
                  <w:rStyle w:val="czeinternetowe"/>
                  <w:rFonts w:ascii="Arial" w:hAnsi="Arial" w:cs="Arial"/>
                  <w:sz w:val="20"/>
                  <w:szCs w:val="20"/>
                  <w:lang w:val="es-ES"/>
                </w:rPr>
                <w:t>https://cvc.cervantes.es/ensenanza/biblioteca_ele/plan_curricular/</w:t>
              </w:r>
            </w:hyperlink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A82D7F" w:rsidP="00A4303A" w:rsidRDefault="00A82D7F" w14:paraId="3A7C8247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Cassany, D., Łuną, M., Sanz, G. (2003 [1994]).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Enseñar lengua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Graó.</w:t>
            </w:r>
          </w:p>
          <w:p w:rsidR="00A82D7F" w:rsidP="00A4303A" w:rsidRDefault="00A82D7F" w14:paraId="247B1D1E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Cervero, M. J., Pichardo Castro, F. (2000).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Aprender y enseñar vocabulario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Edelia.</w:t>
            </w:r>
          </w:p>
          <w:p w:rsidR="00A82D7F" w:rsidP="00A4303A" w:rsidRDefault="00A82D7F" w14:paraId="124DAD78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Dabove, C. N. (coord.). (2013).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arte de ensañar las lenguas extranjeras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Edulp.</w:t>
            </w:r>
          </w:p>
          <w:p w:rsidR="00A82D7F" w:rsidP="00A4303A" w:rsidRDefault="00A82D7F" w14:paraId="1E9E0027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Gvirtz, S., Palamidessi, M. (2006).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abc de la tarea docente: currículum y enseñanza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Aique.</w:t>
            </w:r>
          </w:p>
          <w:p w:rsidR="00A82D7F" w:rsidP="00A4303A" w:rsidRDefault="00A82D7F" w14:paraId="0F117CCA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Herrera, F., Sans, N. (eds.). (2018).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Enseñar gramática en el aula de español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Nuevas perspectivas y propuestas. Difusión.</w:t>
            </w:r>
          </w:p>
          <w:p w:rsidR="00A82D7F" w:rsidP="00A4303A" w:rsidRDefault="00A82D7F" w14:paraId="57F209BC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Littlewood, W. (1981).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enseñanza comunicativa de idiomas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Cambridge University Press.</w:t>
            </w:r>
          </w:p>
          <w:p w:rsidR="00A82D7F" w:rsidP="00A4303A" w:rsidRDefault="00A82D7F" w14:paraId="5D7F9473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Marín, M. (2001).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Lingüística y enseñanza de la lengua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Aique.</w:t>
            </w:r>
          </w:p>
          <w:p w:rsidR="00A82D7F" w:rsidP="00A4303A" w:rsidRDefault="00A82D7F" w14:paraId="07B6166A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Ribas Moliné, R., d’Aquino Hilt, A. (2004).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¿Cómo corregir errores y no equivocarse en el intento?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Edelia.</w:t>
            </w:r>
          </w:p>
          <w:p w:rsidR="00A82D7F" w:rsidP="00A4303A" w:rsidRDefault="00A82D7F" w14:paraId="56DC7663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Srivoranart, P. (2005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). La enseñanza del subjuntivo a través de textos escritos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Universidad de Alcalá.</w:t>
            </w:r>
          </w:p>
        </w:tc>
      </w:tr>
    </w:tbl>
    <w:p xmlns:wp14="http://schemas.microsoft.com/office/word/2010/wordml" w:rsidR="00A82D7F" w:rsidP="00A82D7F" w:rsidRDefault="00A82D7F" w14:paraId="78BEFD2A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27A76422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49206A88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67B7A70C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71887C79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3B7FD67C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38D6B9B6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22F860BB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698536F5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7BC1BAF2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61C988F9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3B22BB7D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17B246DD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6BF89DA3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A82D7F" w:rsidP="00A82D7F" w:rsidRDefault="00A82D7F" w14:paraId="5C3E0E74" wp14:textId="77777777">
      <w:pPr>
        <w:pStyle w:val="Tekstdymka1"/>
        <w:rPr>
          <w:rFonts w:ascii="Arial" w:hAnsi="Arial" w:cs="Arial"/>
        </w:rPr>
      </w:pPr>
    </w:p>
    <w:p xmlns:wp14="http://schemas.microsoft.com/office/word/2010/wordml" w:rsidR="00A82D7F" w:rsidP="00A82D7F" w:rsidRDefault="00A82D7F" w14:paraId="0CCFC7CA" wp14:textId="77777777">
      <w:pPr>
        <w:pStyle w:val="Tekstdymka1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Bilans godzinowy zgodny z CNPS (Całkowity Nakład Pracy Studenta)</w:t>
      </w:r>
    </w:p>
    <w:p xmlns:wp14="http://schemas.microsoft.com/office/word/2010/wordml" w:rsidR="00A82D7F" w:rsidP="00A82D7F" w:rsidRDefault="00A82D7F" w14:paraId="66A1FAB9" wp14:textId="77777777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xmlns:wp14="http://schemas.microsoft.com/office/word/2010/wordml" w:rsidR="00A82D7F" w:rsidTr="00A4303A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0A59AAF4" wp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5CF52D33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6BB753C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A82D7F" w:rsidTr="00A4303A" w14:paraId="097C9DB6" wp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513DA1E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6D29A719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DED4AF3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45</w:t>
            </w:r>
          </w:p>
        </w:tc>
      </w:tr>
      <w:tr xmlns:wp14="http://schemas.microsoft.com/office/word/2010/wordml" w:rsidR="00A82D7F" w:rsidTr="00A4303A" w14:paraId="127E0475" wp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5CAC6F5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8941E47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A82D7F" w:rsidTr="00A4303A" w14:paraId="1BDD2536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0CFD0B79" wp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4008699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611996" w14:paraId="4B584315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A82D7F" w:rsidTr="00A4303A" w14:paraId="5DBB03A8" wp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66060428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561B59D1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611996" w14:paraId="2322F001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A82D7F" w:rsidTr="00A4303A" w14:paraId="630A7C73" wp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1D0656FE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0E24D7D7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611996" w14:paraId="44240AAE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A82D7F" w:rsidTr="00A4303A" w14:paraId="7D28BD52" wp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B37605A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74D66D9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76DB90EB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A82D7F" w:rsidTr="00A4303A" w14:paraId="6F3329C1" wp14:textId="77777777">
        <w:trPr>
          <w:trHeight w:val="365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1637B343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611996" w14:paraId="3F48C20F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xmlns:wp14="http://schemas.microsoft.com/office/word/2010/wordml" w:rsidR="00A82D7F" w:rsidTr="00A4303A" w14:paraId="6E448551" wp14:textId="77777777">
        <w:trPr>
          <w:trHeight w:val="392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82D7F" w:rsidP="00A4303A" w:rsidRDefault="00A82D7F" w14:paraId="1114240D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82D7F" w:rsidP="00A4303A" w:rsidRDefault="00A82D7F" w14:paraId="18F999B5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xmlns:wp14="http://schemas.microsoft.com/office/word/2010/wordml" w:rsidR="00A82D7F" w:rsidP="00A82D7F" w:rsidRDefault="00A82D7F" w14:paraId="394798F2" wp14:textId="77777777">
      <w:pPr>
        <w:pStyle w:val="Tekstdymka1"/>
        <w:rPr>
          <w:rFonts w:ascii="Arial" w:hAnsi="Arial" w:cs="Arial"/>
          <w:sz w:val="22"/>
        </w:rPr>
      </w:pPr>
    </w:p>
    <w:p xmlns:wp14="http://schemas.microsoft.com/office/word/2010/wordml" w:rsidR="00D64131" w:rsidRDefault="00D64131" w14:paraId="3889A505" wp14:textId="77777777"/>
    <w:sectPr w:rsidR="00D64131">
      <w:headerReference w:type="default" r:id="rId14"/>
      <w:footerReference w:type="default" r:id="rId15"/>
      <w:pgSz w:w="11906" w:h="16838" w:orient="portrait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7C4A90" w:rsidRDefault="00611996" w14:paraId="3D562953" wp14:textId="7777777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xmlns:wp14="http://schemas.microsoft.com/office/word/2010/wordml" w:rsidR="007C4A90" w:rsidRDefault="00611996" w14:paraId="29079D35" wp14:textId="77777777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7C4A90" w:rsidRDefault="00611996" w14:paraId="17686DC7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4">
    <w:nsid w:val="6bbe44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0c897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2D13C2"/>
    <w:multiLevelType w:val="multilevel"/>
    <w:tmpl w:val="4DA89E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1742632C"/>
    <w:multiLevelType w:val="multilevel"/>
    <w:tmpl w:val="9B1E7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" w15:restartNumberingAfterBreak="0">
    <w:nsid w:val="352749E4"/>
    <w:multiLevelType w:val="multilevel"/>
    <w:tmpl w:val="D6503B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num w:numId="5">
    <w:abstractNumId w:val="4"/>
  </w:num>
  <w:num w:numId="4">
    <w:abstractNumId w:val="3"/>
  </w: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7F"/>
    <w:rsid w:val="00611996"/>
    <w:rsid w:val="00A82D7F"/>
    <w:rsid w:val="00D64131"/>
    <w:rsid w:val="04C7E2AF"/>
    <w:rsid w:val="0BFF0227"/>
    <w:rsid w:val="0C4F3BE0"/>
    <w:rsid w:val="1733955D"/>
    <w:rsid w:val="1C358D72"/>
    <w:rsid w:val="294BE1DC"/>
    <w:rsid w:val="2A28F248"/>
    <w:rsid w:val="2ADFDF01"/>
    <w:rsid w:val="41EF27EC"/>
    <w:rsid w:val="541D39B8"/>
    <w:rsid w:val="59F1B04A"/>
    <w:rsid w:val="5E365F32"/>
    <w:rsid w:val="63A05F2C"/>
    <w:rsid w:val="63F933CE"/>
    <w:rsid w:val="76FE9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3070"/>
  <w15:chartTrackingRefBased/>
  <w15:docId w15:val="{3BCB189B-B766-4D07-AC60-FEE36B94D8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82D7F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czeinternetowe" w:customStyle="1">
    <w:name w:val="Łącze internetowe"/>
    <w:basedOn w:val="Domylnaczcionkaakapitu"/>
    <w:uiPriority w:val="99"/>
    <w:unhideWhenUsed/>
    <w:rsid w:val="00A82D7F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semiHidden/>
    <w:rsid w:val="00A82D7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styleId="NagwekZnak" w:customStyle="1">
    <w:name w:val="Nagłówek Znak"/>
    <w:basedOn w:val="Domylnaczcionkaakapitu"/>
    <w:link w:val="Nagwek"/>
    <w:semiHidden/>
    <w:rsid w:val="00A82D7F"/>
    <w:rPr>
      <w:rFonts w:ascii="Arial" w:hAnsi="Arial" w:eastAsia="Times New Roman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82D7F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semiHidden/>
    <w:rsid w:val="00A82D7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qFormat/>
    <w:rsid w:val="00A82D7F"/>
    <w:pPr>
      <w:suppressLineNumbers/>
    </w:pPr>
  </w:style>
  <w:style w:type="paragraph" w:styleId="Tekstdymka1" w:customStyle="1">
    <w:name w:val="Tekst dymka1"/>
    <w:basedOn w:val="Normalny"/>
    <w:qFormat/>
    <w:rsid w:val="00A82D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82D7F"/>
    <w:pPr>
      <w:widowControl/>
      <w:suppressAutoHyphens w:val="0"/>
      <w:ind w:left="720"/>
      <w:contextualSpacing/>
    </w:pPr>
    <w:rPr>
      <w:color w:val="000000"/>
      <w:lang w:eastAsia="es-ES_tradn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2D7F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A82D7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eading3">
    <w:uiPriority w:val="9"/>
    <w:name w:val="heading 3"/>
    <w:basedOn w:val="Normalny"/>
    <w:next w:val="Normalny"/>
    <w:unhideWhenUsed/>
    <w:qFormat/>
    <w:rsid w:val="541D39B8"/>
    <w:rPr>
      <w:rFonts w:eastAsia="" w:cs="" w:eastAsiaTheme="majorEastAsia" w:cstheme="majorBidi"/>
      <w:color w:val="2E74B5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ore.edu.pl/2018/03/podstawa-programowa-ksztalcenia-ogolnego-dla-liceum-technikum-i-branzowej-szkoly-ii-stopnia/" TargetMode="External" Id="rId8" /><Relationship Type="http://schemas.openxmlformats.org/officeDocument/2006/relationships/hyperlink" Target="https://cvc.cervantes.es/ensenanza/biblioteca_ele/plan_curricular/" TargetMode="External" Id="rId13" /><Relationship Type="http://schemas.openxmlformats.org/officeDocument/2006/relationships/customXml" Target="../customXml/item2.xml" Id="rId18" /><Relationship Type="http://schemas.openxmlformats.org/officeDocument/2006/relationships/styles" Target="styles.xml" Id="rId3" /><Relationship Type="http://schemas.openxmlformats.org/officeDocument/2006/relationships/hyperlink" Target="https://www.ore.edu.pl/2017/12/ppko/" TargetMode="External" Id="rId7" /><Relationship Type="http://schemas.openxmlformats.org/officeDocument/2006/relationships/hyperlink" Target="https://cvc.cervantes.es/ensenanza/biblioteca_ele/marco/" TargetMode="Externa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4.xml" Id="rId20" /><Relationship Type="http://schemas.openxmlformats.org/officeDocument/2006/relationships/customXml" Target="../customXml/item1.xml" Id="rId1" /><Relationship Type="http://schemas.openxmlformats.org/officeDocument/2006/relationships/hyperlink" Target="https://www.ore.edu.pl/2015/04/ramowe-plany-nauczania/" TargetMode="External" Id="rId6" /><Relationship Type="http://schemas.openxmlformats.org/officeDocument/2006/relationships/hyperlink" Target="https://cke.gov.pl/egzamin-osmoklasisty/" TargetMode="External" Id="rId11" /><Relationship Type="http://schemas.openxmlformats.org/officeDocument/2006/relationships/webSettings" Target="webSettings.xml" Id="rId5" /><Relationship Type="http://schemas.openxmlformats.org/officeDocument/2006/relationships/footer" Target="footer1.xml" Id="rId15" /><Relationship Type="http://schemas.openxmlformats.org/officeDocument/2006/relationships/hyperlink" Target="https://cke.gov.pl/egzamin-maturalny/" TargetMode="Externa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yperlink" Target="https://podreczniki.men.gov.pl/podreczniki/1" TargetMode="Externa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3B53E46-5FFE-439E-B332-3953926FB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00796A-7644-4764-BA71-C398DB7CD6AC}"/>
</file>

<file path=customXml/itemProps3.xml><?xml version="1.0" encoding="utf-8"?>
<ds:datastoreItem xmlns:ds="http://schemas.openxmlformats.org/officeDocument/2006/customXml" ds:itemID="{D4DDFA03-41E8-4A99-950B-78E590757255}"/>
</file>

<file path=customXml/itemProps4.xml><?xml version="1.0" encoding="utf-8"?>
<ds:datastoreItem xmlns:ds="http://schemas.openxmlformats.org/officeDocument/2006/customXml" ds:itemID="{23AD71F4-6938-42CF-A2F4-E0EFD104B0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malgorzata anna wiertelak</dc:creator>
  <keywords/>
  <dc:description/>
  <lastModifiedBy>Renata Czop</lastModifiedBy>
  <revision>4</revision>
  <dcterms:created xsi:type="dcterms:W3CDTF">2022-09-27T20:42:00.0000000Z</dcterms:created>
  <dcterms:modified xsi:type="dcterms:W3CDTF">2025-10-27T20:25:06.3215085Z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